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3B15" w:rsidRDefault="00853B15">
      <w:pPr>
        <w:spacing w:after="246" w:line="360" w:lineRule="auto"/>
        <w:ind w:left="10" w:right="230" w:hanging="10"/>
        <w:jc w:val="center"/>
        <w:rPr>
          <w:b/>
          <w:bCs/>
          <w:sz w:val="24"/>
          <w:szCs w:val="24"/>
        </w:rPr>
      </w:pPr>
      <w:r w:rsidRPr="00853B15">
        <w:rPr>
          <w:noProof/>
          <w:sz w:val="24"/>
          <w:szCs w:val="24"/>
        </w:rPr>
        <mc:AlternateContent>
          <mc:Choice Requires="wps">
            <w:drawing>
              <wp:anchor distT="45720" distB="45720" distL="114300" distR="114300" simplePos="0" relativeHeight="251661312" behindDoc="0" locked="0" layoutInCell="1" allowOverlap="1" wp14:anchorId="46486076" wp14:editId="61A966AE">
                <wp:simplePos x="0" y="0"/>
                <wp:positionH relativeFrom="column">
                  <wp:posOffset>1673225</wp:posOffset>
                </wp:positionH>
                <wp:positionV relativeFrom="paragraph">
                  <wp:posOffset>114300</wp:posOffset>
                </wp:positionV>
                <wp:extent cx="2647950" cy="1404620"/>
                <wp:effectExtent l="0" t="0" r="19050" b="1397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1404620"/>
                        </a:xfrm>
                        <a:prstGeom prst="rect">
                          <a:avLst/>
                        </a:prstGeom>
                        <a:solidFill>
                          <a:srgbClr val="FFFFFF"/>
                        </a:solidFill>
                        <a:ln w="9525">
                          <a:solidFill>
                            <a:srgbClr val="000000"/>
                          </a:solidFill>
                          <a:miter lim="800000"/>
                          <a:headEnd/>
                          <a:tailEnd/>
                        </a:ln>
                      </wps:spPr>
                      <wps:txbx>
                        <w:txbxContent>
                          <w:p w:rsidR="00853B15" w:rsidRDefault="00853B15">
                            <w:r>
                              <w:t>MODELLO PROTOCOLLO DI INTESA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486076" id="_x0000_t202" coordsize="21600,21600" o:spt="202" path="m,l,21600r21600,l21600,xe">
                <v:stroke joinstyle="miter"/>
                <v:path gradientshapeok="t" o:connecttype="rect"/>
              </v:shapetype>
              <v:shape id="Casella di testo 2" o:spid="_x0000_s1026" type="#_x0000_t202" style="position:absolute;left:0;text-align:left;margin-left:131.75pt;margin-top:9pt;width:20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">
                <v:textbox style="mso-fit-shape-to-text:t">
                  <w:txbxContent>
                    <w:p w:rsidR="00853B15" w:rsidRDefault="00853B15">
                      <w:r>
                        <w:t>MODELLO PROTOCOLLO DI INTESA</w:t>
                      </w:r>
                    </w:p>
                  </w:txbxContent>
                </v:textbox>
                <w10:wrap type="square"/>
              </v:shape>
            </w:pict>
          </mc:Fallback>
        </mc:AlternateContent>
      </w:r>
    </w:p>
    <w:p w:rsidR="00853B15" w:rsidRDefault="00853B15">
      <w:pPr>
        <w:spacing w:after="246" w:line="360" w:lineRule="auto"/>
        <w:ind w:left="10" w:right="230" w:hanging="10"/>
        <w:jc w:val="center"/>
        <w:rPr>
          <w:b/>
          <w:bCs/>
          <w:sz w:val="24"/>
          <w:szCs w:val="24"/>
        </w:rPr>
      </w:pPr>
      <w:bookmarkStart w:id="0" w:name="_GoBack"/>
      <w:bookmarkEnd w:id="0"/>
    </w:p>
    <w:p w:rsidR="00853B15" w:rsidRDefault="00853B15">
      <w:pPr>
        <w:spacing w:after="246" w:line="360" w:lineRule="auto"/>
        <w:ind w:left="10" w:right="230" w:hanging="10"/>
        <w:jc w:val="center"/>
        <w:rPr>
          <w:b/>
          <w:bCs/>
          <w:sz w:val="24"/>
          <w:szCs w:val="24"/>
        </w:rPr>
      </w:pPr>
    </w:p>
    <w:p w:rsidR="00853B15" w:rsidRDefault="00853B15">
      <w:pPr>
        <w:spacing w:after="246" w:line="360" w:lineRule="auto"/>
        <w:ind w:left="10" w:right="230" w:hanging="10"/>
        <w:jc w:val="center"/>
        <w:rPr>
          <w:b/>
          <w:bCs/>
          <w:sz w:val="24"/>
          <w:szCs w:val="24"/>
        </w:rPr>
      </w:pPr>
    </w:p>
    <w:p w:rsidR="00571569" w:rsidRDefault="00807D09">
      <w:pPr>
        <w:spacing w:after="246" w:line="360" w:lineRule="auto"/>
        <w:ind w:left="10" w:right="230" w:hanging="10"/>
        <w:jc w:val="center"/>
        <w:rPr>
          <w:b/>
          <w:bCs/>
          <w:sz w:val="24"/>
          <w:szCs w:val="24"/>
        </w:rPr>
      </w:pPr>
      <w:r>
        <w:rPr>
          <w:b/>
          <w:bCs/>
          <w:sz w:val="24"/>
          <w:szCs w:val="24"/>
        </w:rPr>
        <w:t>PROTOCOLLO D'INTESA PER COLLABORAZIONE ISTITUZIONALE</w:t>
      </w:r>
    </w:p>
    <w:p w:rsidR="00571569" w:rsidRDefault="00807D09" w:rsidP="00D64236">
      <w:pPr>
        <w:spacing w:after="190" w:line="360" w:lineRule="auto"/>
        <w:ind w:left="10" w:right="206" w:hanging="10"/>
        <w:jc w:val="center"/>
        <w:rPr>
          <w:b/>
          <w:bCs/>
          <w:sz w:val="24"/>
          <w:szCs w:val="24"/>
        </w:rPr>
      </w:pPr>
      <w:r>
        <w:rPr>
          <w:b/>
          <w:bCs/>
          <w:sz w:val="24"/>
          <w:szCs w:val="24"/>
        </w:rPr>
        <w:t xml:space="preserve">TRA REGIONE MARCHE E </w:t>
      </w:r>
      <w:r w:rsidR="00D64236">
        <w:rPr>
          <w:b/>
          <w:bCs/>
          <w:sz w:val="24"/>
          <w:szCs w:val="24"/>
        </w:rPr>
        <w:t>____________________</w:t>
      </w:r>
    </w:p>
    <w:p w:rsidR="00571569" w:rsidRDefault="00807D09">
      <w:pPr>
        <w:spacing w:after="448" w:line="360" w:lineRule="auto"/>
        <w:ind w:left="10" w:hanging="10"/>
        <w:jc w:val="center"/>
        <w:rPr>
          <w:b/>
          <w:bCs/>
          <w:sz w:val="24"/>
          <w:szCs w:val="24"/>
        </w:rPr>
      </w:pPr>
      <w:r>
        <w:rPr>
          <w:b/>
          <w:bCs/>
          <w:sz w:val="24"/>
          <w:szCs w:val="24"/>
        </w:rPr>
        <w:t>TRA</w:t>
      </w:r>
    </w:p>
    <w:p w:rsidR="00571569" w:rsidRDefault="00807D09">
      <w:pPr>
        <w:spacing w:after="241" w:line="360" w:lineRule="auto"/>
        <w:ind w:left="43" w:right="62"/>
        <w:rPr>
          <w:sz w:val="24"/>
          <w:szCs w:val="24"/>
        </w:rPr>
      </w:pPr>
      <w:r>
        <w:rPr>
          <w:sz w:val="24"/>
          <w:szCs w:val="24"/>
        </w:rPr>
        <w:t xml:space="preserve">la REGIONE MARCHE, con sede legale in Ancona, Via Gentile da Fabriano n. 9 (CF 80008630420), rappresentata </w:t>
      </w:r>
      <w:r w:rsidR="001E7A83">
        <w:rPr>
          <w:sz w:val="24"/>
          <w:szCs w:val="24"/>
        </w:rPr>
        <w:t>da______________</w:t>
      </w:r>
      <w:r>
        <w:rPr>
          <w:sz w:val="24"/>
          <w:szCs w:val="24"/>
        </w:rPr>
        <w:t xml:space="preserve">, </w:t>
      </w:r>
      <w:r>
        <w:rPr>
          <w:sz w:val="24"/>
          <w:szCs w:val="24"/>
          <w:lang w:val="fr-FR"/>
        </w:rPr>
        <w:t>(CF</w:t>
      </w:r>
      <w:r>
        <w:rPr>
          <w:sz w:val="24"/>
          <w:szCs w:val="24"/>
        </w:rPr>
        <w:t xml:space="preserve">: ___________________), ivi domiciliata per la carica, in forza di deliberazione di G.R.M. n. ____ del __/12/2021, quale </w:t>
      </w:r>
      <w:r w:rsidR="001E7A83">
        <w:rPr>
          <w:sz w:val="24"/>
          <w:szCs w:val="24"/>
        </w:rPr>
        <w:t>_________________</w:t>
      </w:r>
      <w:proofErr w:type="gramStart"/>
      <w:r w:rsidR="001E7A83">
        <w:rPr>
          <w:sz w:val="24"/>
          <w:szCs w:val="24"/>
        </w:rPr>
        <w:t>_</w:t>
      </w:r>
      <w:r>
        <w:rPr>
          <w:sz w:val="24"/>
          <w:szCs w:val="24"/>
        </w:rPr>
        <w:t>(</w:t>
      </w:r>
      <w:proofErr w:type="gramEnd"/>
      <w:r>
        <w:rPr>
          <w:sz w:val="24"/>
          <w:szCs w:val="24"/>
        </w:rPr>
        <w:t xml:space="preserve">centrale di committenza ai sensi </w:t>
      </w:r>
      <w:proofErr w:type="spellStart"/>
      <w:r>
        <w:rPr>
          <w:sz w:val="24"/>
          <w:szCs w:val="24"/>
        </w:rPr>
        <w:t>dell</w:t>
      </w:r>
      <w:proofErr w:type="spellEnd"/>
      <w:r>
        <w:rPr>
          <w:rFonts w:ascii="Arial Unicode MS" w:hAnsi="Arial Unicode MS"/>
          <w:sz w:val="24"/>
          <w:szCs w:val="24"/>
          <w:rtl/>
          <w:lang w:val="ar-SA"/>
        </w:rPr>
        <w:t>’</w:t>
      </w:r>
      <w:r>
        <w:rPr>
          <w:sz w:val="24"/>
          <w:szCs w:val="24"/>
        </w:rPr>
        <w:t xml:space="preserve">art. 2, comma 2 del D.P.C.M. 30 giugno 2011), autorizzata alla presente stipula con deliberazione di G.R.M. n. _____ del __/__/____ (in prosieguo anche solo </w:t>
      </w:r>
      <w:r>
        <w:rPr>
          <w:rFonts w:ascii="Arial Unicode MS" w:hAnsi="Arial Unicode MS"/>
          <w:sz w:val="24"/>
          <w:szCs w:val="24"/>
          <w:rtl/>
          <w:lang w:val="ar-SA"/>
        </w:rPr>
        <w:t>“</w:t>
      </w:r>
      <w:r>
        <w:rPr>
          <w:sz w:val="24"/>
          <w:szCs w:val="24"/>
        </w:rPr>
        <w:t>SUAM” o “Regione”),</w:t>
      </w:r>
    </w:p>
    <w:p w:rsidR="00571569" w:rsidRDefault="00807D09">
      <w:pPr>
        <w:spacing w:after="0" w:line="360" w:lineRule="auto"/>
        <w:ind w:left="45" w:right="62"/>
        <w:jc w:val="center"/>
        <w:rPr>
          <w:b/>
          <w:bCs/>
          <w:sz w:val="24"/>
          <w:szCs w:val="24"/>
        </w:rPr>
      </w:pPr>
      <w:r>
        <w:rPr>
          <w:b/>
          <w:bCs/>
          <w:sz w:val="24"/>
          <w:szCs w:val="24"/>
        </w:rPr>
        <w:t>E</w:t>
      </w:r>
    </w:p>
    <w:p w:rsidR="00571569" w:rsidRDefault="00571569">
      <w:pPr>
        <w:spacing w:after="0" w:line="360" w:lineRule="auto"/>
        <w:ind w:left="45" w:right="62"/>
        <w:jc w:val="center"/>
        <w:rPr>
          <w:b/>
          <w:bCs/>
          <w:sz w:val="24"/>
          <w:szCs w:val="24"/>
        </w:rPr>
      </w:pPr>
    </w:p>
    <w:p w:rsidR="00571569" w:rsidRDefault="00807D09">
      <w:pPr>
        <w:spacing w:after="0" w:line="360" w:lineRule="auto"/>
        <w:ind w:left="45" w:right="62"/>
        <w:rPr>
          <w:sz w:val="24"/>
          <w:szCs w:val="24"/>
        </w:rPr>
      </w:pPr>
      <w:r>
        <w:rPr>
          <w:sz w:val="24"/>
          <w:szCs w:val="24"/>
        </w:rPr>
        <w:t xml:space="preserve">La </w:t>
      </w:r>
      <w:r w:rsidR="001E7A83">
        <w:rPr>
          <w:sz w:val="24"/>
          <w:szCs w:val="24"/>
        </w:rPr>
        <w:t>_______________________</w:t>
      </w:r>
      <w:r>
        <w:rPr>
          <w:sz w:val="24"/>
          <w:szCs w:val="24"/>
        </w:rPr>
        <w:t xml:space="preserve"> giusta delega ricevutane, </w:t>
      </w:r>
      <w:r w:rsidR="001E7A83">
        <w:rPr>
          <w:sz w:val="24"/>
          <w:szCs w:val="24"/>
        </w:rPr>
        <w:t xml:space="preserve">_____________________, </w:t>
      </w:r>
      <w:proofErr w:type="spellStart"/>
      <w:r w:rsidR="001E7A83">
        <w:rPr>
          <w:sz w:val="24"/>
          <w:szCs w:val="24"/>
        </w:rPr>
        <w:t>domiciliatao</w:t>
      </w:r>
      <w:proofErr w:type="spellEnd"/>
      <w:r w:rsidR="001E7A83">
        <w:rPr>
          <w:sz w:val="24"/>
          <w:szCs w:val="24"/>
        </w:rPr>
        <w:t>/</w:t>
      </w:r>
      <w:proofErr w:type="spellStart"/>
      <w:r w:rsidR="001E7A83">
        <w:rPr>
          <w:sz w:val="24"/>
          <w:szCs w:val="24"/>
        </w:rPr>
        <w:t>a</w:t>
      </w:r>
      <w:r>
        <w:rPr>
          <w:sz w:val="24"/>
          <w:szCs w:val="24"/>
        </w:rPr>
        <w:t>ai</w:t>
      </w:r>
      <w:proofErr w:type="spellEnd"/>
      <w:r>
        <w:rPr>
          <w:sz w:val="24"/>
          <w:szCs w:val="24"/>
        </w:rPr>
        <w:t xml:space="preserve"> fini della presente in ______________, </w:t>
      </w:r>
      <w:r>
        <w:rPr>
          <w:noProof/>
          <w:sz w:val="24"/>
          <w:szCs w:val="24"/>
        </w:rPr>
        <w:drawing>
          <wp:anchor distT="0" distB="0" distL="0" distR="0" simplePos="0" relativeHeight="251659264" behindDoc="0" locked="0" layoutInCell="1" allowOverlap="1">
            <wp:simplePos x="0" y="0"/>
            <wp:positionH relativeFrom="page">
              <wp:posOffset>396240</wp:posOffset>
            </wp:positionH>
            <wp:positionV relativeFrom="page">
              <wp:posOffset>6875201</wp:posOffset>
            </wp:positionV>
            <wp:extent cx="21336" cy="15244"/>
            <wp:effectExtent l="0" t="0" r="0" b="0"/>
            <wp:wrapTopAndBottom distT="0" distB="0"/>
            <wp:docPr id="1073741825" name="officeArt object" descr="Picture 2235"/>
            <wp:cNvGraphicFramePr/>
            <a:graphic xmlns:a="http://schemas.openxmlformats.org/drawingml/2006/main">
              <a:graphicData uri="http://schemas.openxmlformats.org/drawingml/2006/picture">
                <pic:pic xmlns:pic="http://schemas.openxmlformats.org/drawingml/2006/picture">
                  <pic:nvPicPr>
                    <pic:cNvPr id="1073741825" name="Picture 2235" descr="Picture 2235"/>
                    <pic:cNvPicPr>
                      <a:picLocks noChangeAspect="1"/>
                    </pic:cNvPicPr>
                  </pic:nvPicPr>
                  <pic:blipFill>
                    <a:blip r:embed="rId6">
                      <a:extLst/>
                    </a:blip>
                    <a:stretch>
                      <a:fillRect/>
                    </a:stretch>
                  </pic:blipFill>
                  <pic:spPr>
                    <a:xfrm>
                      <a:off x="0" y="0"/>
                      <a:ext cx="21336" cy="15244"/>
                    </a:xfrm>
                    <a:prstGeom prst="rect">
                      <a:avLst/>
                    </a:prstGeom>
                    <a:ln w="12700" cap="flat">
                      <a:noFill/>
                      <a:miter lim="400000"/>
                    </a:ln>
                    <a:effectLst/>
                  </pic:spPr>
                </pic:pic>
              </a:graphicData>
            </a:graphic>
          </wp:anchor>
        </w:drawing>
      </w:r>
      <w:r>
        <w:rPr>
          <w:sz w:val="24"/>
          <w:szCs w:val="24"/>
        </w:rPr>
        <w:t>di seguito anche congiuntamente definiti “</w:t>
      </w:r>
      <w:r w:rsidR="001E7A83">
        <w:rPr>
          <w:sz w:val="24"/>
          <w:szCs w:val="24"/>
        </w:rPr>
        <w:t>_____________________</w:t>
      </w:r>
      <w:r>
        <w:rPr>
          <w:sz w:val="24"/>
          <w:szCs w:val="24"/>
        </w:rPr>
        <w:t>”,</w:t>
      </w:r>
    </w:p>
    <w:p w:rsidR="00571569" w:rsidRDefault="00571569">
      <w:pPr>
        <w:spacing w:after="171" w:line="360" w:lineRule="auto"/>
        <w:ind w:left="10" w:right="139" w:hanging="10"/>
        <w:jc w:val="center"/>
        <w:rPr>
          <w:sz w:val="24"/>
          <w:szCs w:val="24"/>
        </w:rPr>
      </w:pPr>
    </w:p>
    <w:p w:rsidR="00571569" w:rsidRDefault="00807D09">
      <w:pPr>
        <w:spacing w:after="171" w:line="360" w:lineRule="auto"/>
        <w:ind w:left="10" w:right="139" w:hanging="10"/>
        <w:jc w:val="center"/>
        <w:rPr>
          <w:sz w:val="24"/>
          <w:szCs w:val="24"/>
        </w:rPr>
      </w:pPr>
      <w:r>
        <w:rPr>
          <w:sz w:val="24"/>
          <w:szCs w:val="24"/>
        </w:rPr>
        <w:t>PREMESSO CHE</w:t>
      </w:r>
    </w:p>
    <w:p w:rsidR="00571569" w:rsidRDefault="00807D09">
      <w:pPr>
        <w:spacing w:after="171" w:line="360" w:lineRule="auto"/>
        <w:ind w:left="10" w:right="139" w:hanging="10"/>
        <w:rPr>
          <w:sz w:val="24"/>
          <w:szCs w:val="24"/>
        </w:rPr>
      </w:pPr>
      <w:r>
        <w:rPr>
          <w:sz w:val="24"/>
          <w:szCs w:val="24"/>
        </w:rPr>
        <w:t xml:space="preserve">A seguito della crisi </w:t>
      </w:r>
      <w:proofErr w:type="spellStart"/>
      <w:r>
        <w:rPr>
          <w:sz w:val="24"/>
          <w:szCs w:val="24"/>
        </w:rPr>
        <w:t>economica-finanziaria</w:t>
      </w:r>
      <w:proofErr w:type="spellEnd"/>
      <w:r>
        <w:rPr>
          <w:sz w:val="24"/>
          <w:szCs w:val="24"/>
        </w:rPr>
        <w:t xml:space="preserve"> risulta fondamentale attivare tutte le azioni che possano portare alla crescita di competenze, sia dei lavoratori che delle aziende nel settore contabile-finanziario.</w:t>
      </w:r>
    </w:p>
    <w:p w:rsidR="00571569" w:rsidRDefault="00807D09">
      <w:pPr>
        <w:spacing w:after="171" w:line="360" w:lineRule="auto"/>
        <w:ind w:left="10" w:right="139" w:hanging="10"/>
        <w:rPr>
          <w:sz w:val="24"/>
          <w:szCs w:val="24"/>
        </w:rPr>
      </w:pPr>
      <w:r>
        <w:rPr>
          <w:sz w:val="24"/>
          <w:szCs w:val="24"/>
        </w:rPr>
        <w:t>Risulta parimenti importante sostenere tali competenze nei confronti dei lavoratori al fine di una loro migliore collocazione o ricollocazione nel mercato del lavoro locale.</w:t>
      </w:r>
    </w:p>
    <w:p w:rsidR="00571569" w:rsidRDefault="00807D09">
      <w:pPr>
        <w:spacing w:after="171" w:line="360" w:lineRule="auto"/>
        <w:ind w:left="10" w:right="139" w:hanging="10"/>
        <w:rPr>
          <w:sz w:val="24"/>
          <w:szCs w:val="24"/>
        </w:rPr>
      </w:pPr>
      <w:r>
        <w:rPr>
          <w:sz w:val="24"/>
          <w:szCs w:val="24"/>
        </w:rPr>
        <w:t>La Regione Marche, tra l'altro promuove e favorisce le politiche di riqualificazione dei lavoratori al fine del loro migliore inserimento/reinserimento nel mercato del lavoro e svolge fondamentali funzioni in tema di programmazione - su base regionale - degli appalti pubblici.</w:t>
      </w:r>
    </w:p>
    <w:p w:rsidR="00571569" w:rsidRDefault="00807D09">
      <w:pPr>
        <w:spacing w:after="171" w:line="360" w:lineRule="auto"/>
        <w:ind w:left="10" w:right="139" w:hanging="10"/>
        <w:rPr>
          <w:sz w:val="24"/>
          <w:szCs w:val="24"/>
        </w:rPr>
      </w:pPr>
      <w:r>
        <w:rPr>
          <w:sz w:val="24"/>
          <w:szCs w:val="24"/>
        </w:rPr>
        <w:lastRenderedPageBreak/>
        <w:t xml:space="preserve">L’art. 13 della Legge 13 agosto 2010, n. 136 ha previsto l’istituzione, in ambito regionale, di una o più Stazioni Uniche Appaltanti ai sensi dell’art. 33 del </w:t>
      </w:r>
      <w:proofErr w:type="spellStart"/>
      <w:proofErr w:type="gramStart"/>
      <w:r>
        <w:rPr>
          <w:sz w:val="24"/>
          <w:szCs w:val="24"/>
        </w:rPr>
        <w:t>D.Lgs</w:t>
      </w:r>
      <w:proofErr w:type="gramEnd"/>
      <w:r>
        <w:rPr>
          <w:sz w:val="24"/>
          <w:szCs w:val="24"/>
        </w:rPr>
        <w:t>.</w:t>
      </w:r>
      <w:proofErr w:type="spellEnd"/>
      <w:r>
        <w:rPr>
          <w:sz w:val="24"/>
          <w:szCs w:val="24"/>
        </w:rPr>
        <w:t xml:space="preserve"> 12 aprile 2006, n. 163, al fine di assicurare la trasparenza, la regolarità e l’economicità della gestione dei contratti pubblici e di prevenire il rischio di infiltrazioni mafiose, rinviando a successivo Decreto il compito di individuare e definire le modalità di attuazione.</w:t>
      </w:r>
    </w:p>
    <w:p w:rsidR="00571569" w:rsidRDefault="00807D09">
      <w:pPr>
        <w:spacing w:after="171" w:line="360" w:lineRule="auto"/>
        <w:ind w:left="10" w:right="139" w:hanging="10"/>
        <w:rPr>
          <w:sz w:val="24"/>
          <w:szCs w:val="24"/>
        </w:rPr>
      </w:pPr>
      <w:r>
        <w:rPr>
          <w:sz w:val="24"/>
          <w:szCs w:val="24"/>
        </w:rPr>
        <w:t>Il D.P.C.M. 30.06.2011 ha determinato gli enti, gli organismi e le società che possono aderire alla SUA, disciplinando le attività e i servizi svolti dalle stesse e definendo gli elementi essenziali che devono essere inseriti nelle Convenzioni da stipulare tra Ente aderente e SUA.</w:t>
      </w:r>
    </w:p>
    <w:p w:rsidR="00571569" w:rsidRDefault="00807D09">
      <w:pPr>
        <w:spacing w:after="171" w:line="360" w:lineRule="auto"/>
        <w:ind w:left="10" w:right="139" w:hanging="10"/>
        <w:rPr>
          <w:sz w:val="24"/>
          <w:szCs w:val="24"/>
        </w:rPr>
      </w:pPr>
      <w:r>
        <w:rPr>
          <w:sz w:val="24"/>
          <w:szCs w:val="24"/>
        </w:rPr>
        <w:t>In conformità al citato decreto, la Regione Marche con propria Legge n. 12 del 14 maggio 2012, ha istituito la Stazione Unica Appaltante della Regione Marche (SUAM), prevedendo: - all’art. 4, comma 1, che “sono tenuti ad avvalersi della SUAM, per le procedure contrattuali per la realizzazione di lavori pubblici di importo superiore a 150.000,00 euro e l’acquisizione di beni e servizi al di sopra della soglia di rilevanza comunitaria: a) le strutture organizzative della Giunta regionale; b) l’Agenzia regionale sanitaria; c) le società a totale partecipazione regionale.”; - all’art. 4 comma 2, che “sono tenuti ad avvalersi della SUAM per le procedure contrattuali per la realizzazione di lavori pubblici di importo superiore a un milione di euro e per l’acquisizione di beni e servizi di importo superiore alla soglia di rilevanza comunitaria: a) l’Agenzia regionale per la protezione ambientale delle Marche; b) l’Agenzia per i servizi del settore agroalimentare delle Marche; c) gli Enti gestori dei parchi naturali regionali; d) .........; e) gli enti del Servizio sanitario regionale; f) gli Enti dipendenti dalla Regione di cui alla legge regionale 16 dicembre 2005 n. 36 (Riordino del sistema regionale delle politiche abitative) e alla legge regionale 2 settembre 1996 n. 38 (Riordino in materia di diritto allo studio universitario).”; - all’art. 6 comma, che “hanno facoltà di avvalersi della SUAM gli enti pubblici e le società a prevalente partecipazione pubblica, operanti nel territorio della Regione”; - agli artt. 5 comma 2-bis e 6 comma 1, che i rapporti tra la SUAM ed i predetti soggetti avrebbero dovuto essere disciplinati da apposita convenzione.</w:t>
      </w:r>
    </w:p>
    <w:p w:rsidR="00571569" w:rsidRDefault="00807D09">
      <w:pPr>
        <w:spacing w:after="171" w:line="360" w:lineRule="auto"/>
        <w:ind w:left="10" w:right="139" w:hanging="10"/>
        <w:rPr>
          <w:sz w:val="24"/>
          <w:szCs w:val="24"/>
        </w:rPr>
      </w:pPr>
      <w:r>
        <w:rPr>
          <w:sz w:val="24"/>
          <w:szCs w:val="24"/>
        </w:rPr>
        <w:t xml:space="preserve">Le previsioni di cui al citato art. 33, D. </w:t>
      </w:r>
      <w:proofErr w:type="spellStart"/>
      <w:r>
        <w:rPr>
          <w:sz w:val="24"/>
          <w:szCs w:val="24"/>
        </w:rPr>
        <w:t>Lgs</w:t>
      </w:r>
      <w:proofErr w:type="spellEnd"/>
      <w:r>
        <w:rPr>
          <w:sz w:val="24"/>
          <w:szCs w:val="24"/>
        </w:rPr>
        <w:t xml:space="preserve">. n. 163/2006 sono state da ultimo confermate, con modificazioni, dall’art. 37, c. 4, D. </w:t>
      </w:r>
      <w:proofErr w:type="spellStart"/>
      <w:r>
        <w:rPr>
          <w:sz w:val="24"/>
          <w:szCs w:val="24"/>
        </w:rPr>
        <w:t>Lgs</w:t>
      </w:r>
      <w:proofErr w:type="spellEnd"/>
      <w:r>
        <w:rPr>
          <w:sz w:val="24"/>
          <w:szCs w:val="24"/>
        </w:rPr>
        <w:t xml:space="preserve">. n. 50/2016, che così recita: “Se la stazione appaltante è un comune non capoluogo di provincia, fermo restando quanto previsto al comma 1 e al primo periodo del comma 2, procede secondo una delle seguenti modalità: a) ricorrendo a una centrale di committenza o a soggetti aggregatori qualificati; b) mediante unioni di comuni costituite e qualificate come centrali di committenza, ovvero associandosi o consorziandosi in centrali di committenza nelle forme previste dall’ordinamento; c) ricorrendo alla stazione unica appaltante </w:t>
      </w:r>
      <w:r>
        <w:rPr>
          <w:sz w:val="24"/>
          <w:szCs w:val="24"/>
        </w:rPr>
        <w:lastRenderedPageBreak/>
        <w:t>costituita presso le province, le città metropolitane ovvero gli enti di area vasta ai sensi della legge 7 aprile 2014, n. 56”.</w:t>
      </w:r>
    </w:p>
    <w:p w:rsidR="00571569" w:rsidRDefault="00807D09">
      <w:pPr>
        <w:spacing w:after="171" w:line="360" w:lineRule="auto"/>
        <w:ind w:left="10" w:right="139" w:hanging="10"/>
        <w:rPr>
          <w:sz w:val="24"/>
          <w:szCs w:val="24"/>
        </w:rPr>
      </w:pPr>
      <w:r>
        <w:rPr>
          <w:sz w:val="24"/>
          <w:szCs w:val="24"/>
        </w:rPr>
        <w:t>Il medesimo Codice dei contratti pubblici attribuisce fondamentale importanza alla esatta “stima del costo della manodopera” di ciascun appalto, al punto da prevedere che essa vada calcolata in fase di progettazione dell’appalto da parte della Stazione appaltante (</w:t>
      </w:r>
      <w:r>
        <w:rPr>
          <w:i/>
          <w:iCs/>
          <w:sz w:val="24"/>
          <w:szCs w:val="24"/>
        </w:rPr>
        <w:t>ex</w:t>
      </w:r>
      <w:r>
        <w:rPr>
          <w:sz w:val="24"/>
          <w:szCs w:val="24"/>
        </w:rPr>
        <w:t xml:space="preserve"> art. 23, c. </w:t>
      </w:r>
      <w:proofErr w:type="gramStart"/>
      <w:r>
        <w:rPr>
          <w:sz w:val="24"/>
          <w:szCs w:val="24"/>
        </w:rPr>
        <w:t xml:space="preserve">16,  </w:t>
      </w:r>
      <w:proofErr w:type="spellStart"/>
      <w:r>
        <w:rPr>
          <w:sz w:val="24"/>
          <w:szCs w:val="24"/>
        </w:rPr>
        <w:t>D</w:t>
      </w:r>
      <w:proofErr w:type="gramEnd"/>
      <w:r>
        <w:rPr>
          <w:sz w:val="24"/>
          <w:szCs w:val="24"/>
        </w:rPr>
        <w:t>.Lgs.</w:t>
      </w:r>
      <w:proofErr w:type="spellEnd"/>
      <w:r>
        <w:rPr>
          <w:sz w:val="24"/>
          <w:szCs w:val="24"/>
        </w:rPr>
        <w:t xml:space="preserve"> n. 50/2016) e </w:t>
      </w:r>
      <w:proofErr w:type="spellStart"/>
      <w:r>
        <w:rPr>
          <w:i/>
          <w:iCs/>
          <w:sz w:val="24"/>
          <w:szCs w:val="24"/>
        </w:rPr>
        <w:t>deinde</w:t>
      </w:r>
      <w:proofErr w:type="spellEnd"/>
      <w:r>
        <w:rPr>
          <w:sz w:val="24"/>
          <w:szCs w:val="24"/>
        </w:rPr>
        <w:t xml:space="preserve"> indicata - per la fase di esecuzione - da parte dell’operatore economico (che deve inserirla, a pena di esclusione, all’interno della propria offerta economica, ai sensi dell’art. 95, c. 10, Codice, insieme all’indicazione degli oneri aziendali relativi alla salute e sicurezza nei luoghi di lavoro), al fine di consentire alla Stazione appaltante, prima dell’aggiudicazione, di verificare che il costo del personale non sia inferiore ai minimi salariali indicati nelle tabelle ministeriali, come </w:t>
      </w:r>
      <w:r>
        <w:rPr>
          <w:i/>
          <w:iCs/>
          <w:sz w:val="24"/>
          <w:szCs w:val="24"/>
        </w:rPr>
        <w:t>infra</w:t>
      </w:r>
      <w:r>
        <w:rPr>
          <w:sz w:val="24"/>
          <w:szCs w:val="24"/>
        </w:rPr>
        <w:t xml:space="preserve"> meglio esplicitato. </w:t>
      </w:r>
    </w:p>
    <w:p w:rsidR="00571569" w:rsidRDefault="00807D09">
      <w:pPr>
        <w:spacing w:after="171" w:line="360" w:lineRule="auto"/>
        <w:ind w:left="10" w:right="139" w:hanging="10"/>
        <w:rPr>
          <w:sz w:val="24"/>
          <w:szCs w:val="24"/>
        </w:rPr>
      </w:pPr>
      <w:r>
        <w:rPr>
          <w:sz w:val="24"/>
          <w:szCs w:val="24"/>
        </w:rPr>
        <w:t xml:space="preserve">I </w:t>
      </w:r>
      <w:r w:rsidR="00D64236">
        <w:rPr>
          <w:sz w:val="24"/>
          <w:szCs w:val="24"/>
        </w:rPr>
        <w:t>_____________</w:t>
      </w:r>
      <w:r>
        <w:rPr>
          <w:sz w:val="24"/>
          <w:szCs w:val="24"/>
        </w:rPr>
        <w:t xml:space="preserve"> come sopra individuati, in considerazione delle competenze specifiche dei propri iscritti in tali materie e del ruolo di consulenza aziendale dei professionisti aderenti, sono i soggetti istituzionali in grado di svolgere un efficace ruolo di collegamento e supporto tra le esigenze delle imprese, gli adempimenti e le verifiche imposte alle stazioni appaltanti dal codice dei contratti pubblici, nonché le politiche da attivare da parte della Regione Marche in tali settori.</w:t>
      </w:r>
    </w:p>
    <w:p w:rsidR="00571569" w:rsidRDefault="00807D09">
      <w:pPr>
        <w:spacing w:after="171" w:line="360" w:lineRule="auto"/>
        <w:ind w:left="10" w:right="139" w:hanging="10"/>
        <w:rPr>
          <w:sz w:val="24"/>
          <w:szCs w:val="24"/>
        </w:rPr>
      </w:pPr>
      <w:r>
        <w:rPr>
          <w:sz w:val="24"/>
          <w:szCs w:val="24"/>
        </w:rPr>
        <w:t xml:space="preserve">I </w:t>
      </w:r>
      <w:r w:rsidR="00D64236">
        <w:rPr>
          <w:sz w:val="24"/>
          <w:szCs w:val="24"/>
        </w:rPr>
        <w:t>_______________________</w:t>
      </w:r>
      <w:r>
        <w:rPr>
          <w:sz w:val="24"/>
          <w:szCs w:val="24"/>
        </w:rPr>
        <w:t>sono professionisti esperti in materia di gestione dei rapporti di lavoro e sono riconosciuti come partner tecnici della Regione nei vari ambiti ove possono essere coinvolti per le -materie di propria competenza professionale.</w:t>
      </w:r>
    </w:p>
    <w:p w:rsidR="00571569" w:rsidRDefault="00807D09">
      <w:pPr>
        <w:spacing w:after="171" w:line="360" w:lineRule="auto"/>
        <w:ind w:left="10" w:right="139" w:hanging="10"/>
        <w:rPr>
          <w:sz w:val="24"/>
          <w:szCs w:val="24"/>
        </w:rPr>
      </w:pPr>
      <w:r>
        <w:rPr>
          <w:sz w:val="24"/>
          <w:szCs w:val="24"/>
        </w:rPr>
        <w:t xml:space="preserve">In particolare, le Stazioni appaltanti, relativamente ai costi della manodopera, prima dell'aggiudicazione devono verificare quanto stabilito dall'art. 97, c. 5, </w:t>
      </w:r>
      <w:proofErr w:type="spellStart"/>
      <w:r>
        <w:rPr>
          <w:sz w:val="24"/>
          <w:szCs w:val="24"/>
        </w:rPr>
        <w:t>lett</w:t>
      </w:r>
      <w:proofErr w:type="spellEnd"/>
      <w:r>
        <w:rPr>
          <w:sz w:val="24"/>
          <w:szCs w:val="24"/>
        </w:rPr>
        <w:t xml:space="preserve">. d), (e ciò indipendentemente dal fatto che </w:t>
      </w:r>
      <w:r>
        <w:rPr>
          <w:noProof/>
          <w:sz w:val="24"/>
          <w:szCs w:val="24"/>
        </w:rPr>
        <w:drawing>
          <wp:inline distT="0" distB="0" distL="0" distR="0">
            <wp:extent cx="329185" cy="100616"/>
            <wp:effectExtent l="0" t="0" r="0" b="0"/>
            <wp:docPr id="1073741826" name="officeArt object" descr="Picture 24088"/>
            <wp:cNvGraphicFramePr/>
            <a:graphic xmlns:a="http://schemas.openxmlformats.org/drawingml/2006/main">
              <a:graphicData uri="http://schemas.openxmlformats.org/drawingml/2006/picture">
                <pic:pic xmlns:pic="http://schemas.openxmlformats.org/drawingml/2006/picture">
                  <pic:nvPicPr>
                    <pic:cNvPr id="1073741826" name="Picture 24088" descr="Picture 24088"/>
                    <pic:cNvPicPr>
                      <a:picLocks noChangeAspect="1"/>
                    </pic:cNvPicPr>
                  </pic:nvPicPr>
                  <pic:blipFill>
                    <a:blip r:embed="rId7">
                      <a:extLst/>
                    </a:blip>
                    <a:stretch>
                      <a:fillRect/>
                    </a:stretch>
                  </pic:blipFill>
                  <pic:spPr>
                    <a:xfrm>
                      <a:off x="0" y="0"/>
                      <a:ext cx="329185" cy="100616"/>
                    </a:xfrm>
                    <a:prstGeom prst="rect">
                      <a:avLst/>
                    </a:prstGeom>
                    <a:ln w="12700" cap="flat">
                      <a:noFill/>
                      <a:miter lim="400000"/>
                    </a:ln>
                    <a:effectLst/>
                  </pic:spPr>
                </pic:pic>
              </a:graphicData>
            </a:graphic>
          </wp:inline>
        </w:drawing>
      </w:r>
      <w:r>
        <w:rPr>
          <w:sz w:val="24"/>
          <w:szCs w:val="24"/>
        </w:rPr>
        <w:t>sia risultata anomala) ossia che il costo del personale non sia inferiore ai minimi salariali retributivi indicati nelle apposite tabelle ministeriali.</w:t>
      </w:r>
    </w:p>
    <w:p w:rsidR="00571569" w:rsidRDefault="00807D09">
      <w:pPr>
        <w:spacing w:after="171" w:line="360" w:lineRule="auto"/>
        <w:ind w:left="10" w:right="139" w:hanging="10"/>
        <w:rPr>
          <w:sz w:val="24"/>
          <w:szCs w:val="24"/>
        </w:rPr>
      </w:pPr>
      <w:r>
        <w:rPr>
          <w:sz w:val="24"/>
          <w:szCs w:val="24"/>
        </w:rPr>
        <w:t>L’esclusione dell'offerta avviene solo se la prova fornita non giustifica sufficientemente il basso livello di prezzi o di costi proposti, tenendo conto degli elementi di cui al comma 4. In alternativa l'offerta viene scartata se viene accertato, con le modalità di cui al primo periodo, che è anormalmente bassa in quanto il costo del personale è inferiore ai minimi salariali retributivi indicati nelle apposite tabelle.</w:t>
      </w:r>
    </w:p>
    <w:p w:rsidR="00571569" w:rsidRDefault="00807D09">
      <w:pPr>
        <w:spacing w:after="171" w:line="360" w:lineRule="auto"/>
        <w:ind w:left="10" w:right="139" w:hanging="10"/>
        <w:rPr>
          <w:sz w:val="24"/>
          <w:szCs w:val="24"/>
        </w:rPr>
      </w:pPr>
      <w:r>
        <w:rPr>
          <w:sz w:val="24"/>
          <w:szCs w:val="24"/>
        </w:rPr>
        <w:t xml:space="preserve">L’art. 23, comma 16, prevede che per i contratti relativi a lavori, servizi e forniture, il costo del lavoro è determinato annualmente dal Ministero del lavoro con apposite tabelle. Tale costo è definito sulla base dei valori economici definiti dalla contrattazione collettiva nazionale tra le organizzazioni sindacali e le organizzazioni dei datori di lavoro comparativamente più </w:t>
      </w:r>
      <w:r>
        <w:rPr>
          <w:sz w:val="24"/>
          <w:szCs w:val="24"/>
        </w:rPr>
        <w:lastRenderedPageBreak/>
        <w:t>rappresentativi, delle norme in materia previdenziale ed assistenziale, dei diversi settori merceologici e delle differenti aree territoriali.</w:t>
      </w:r>
    </w:p>
    <w:p w:rsidR="00571569" w:rsidRDefault="00807D09">
      <w:pPr>
        <w:spacing w:after="171" w:line="360" w:lineRule="auto"/>
        <w:ind w:left="10" w:right="139" w:hanging="10"/>
        <w:rPr>
          <w:sz w:val="24"/>
          <w:szCs w:val="24"/>
        </w:rPr>
      </w:pPr>
      <w:r>
        <w:rPr>
          <w:sz w:val="24"/>
          <w:szCs w:val="24"/>
        </w:rPr>
        <w:t xml:space="preserve">Nei contratti di forniture e servizi, la stazione appaltante, al fine di determinare l'importo posto a base di gara, deve individuare nei documenti posti a base di gara i costi della manodopera sulla base di quanto previsto nel comma 16, dell'articolo 23 del </w:t>
      </w:r>
      <w:proofErr w:type="spellStart"/>
      <w:r>
        <w:rPr>
          <w:sz w:val="24"/>
          <w:szCs w:val="24"/>
        </w:rPr>
        <w:t>D.lgs</w:t>
      </w:r>
      <w:proofErr w:type="spellEnd"/>
      <w:r>
        <w:rPr>
          <w:sz w:val="24"/>
          <w:szCs w:val="24"/>
        </w:rPr>
        <w:t xml:space="preserve"> 50/2016 e </w:t>
      </w:r>
      <w:proofErr w:type="spellStart"/>
      <w:r>
        <w:rPr>
          <w:sz w:val="24"/>
          <w:szCs w:val="24"/>
        </w:rPr>
        <w:t>s.m.i.</w:t>
      </w:r>
      <w:proofErr w:type="spellEnd"/>
    </w:p>
    <w:p w:rsidR="00571569" w:rsidRDefault="00807D09">
      <w:pPr>
        <w:spacing w:after="171" w:line="360" w:lineRule="auto"/>
        <w:ind w:left="10" w:right="139" w:hanging="10"/>
        <w:rPr>
          <w:i/>
          <w:iCs/>
          <w:sz w:val="24"/>
          <w:szCs w:val="24"/>
        </w:rPr>
      </w:pPr>
      <w:r>
        <w:rPr>
          <w:sz w:val="24"/>
          <w:szCs w:val="24"/>
        </w:rPr>
        <w:t xml:space="preserve">La suddetta valutazione tecnica è un'operazione complessa e che l’Amministrazione regionale intende avvalersi delle competenze dei </w:t>
      </w:r>
      <w:r w:rsidR="00D64236">
        <w:rPr>
          <w:sz w:val="24"/>
          <w:szCs w:val="24"/>
        </w:rPr>
        <w:t>____________________</w:t>
      </w:r>
      <w:r>
        <w:rPr>
          <w:sz w:val="24"/>
          <w:szCs w:val="24"/>
        </w:rPr>
        <w:t xml:space="preserve"> nelle materie </w:t>
      </w:r>
      <w:r>
        <w:rPr>
          <w:i/>
          <w:iCs/>
          <w:sz w:val="24"/>
          <w:szCs w:val="24"/>
        </w:rPr>
        <w:t>de quo.</w:t>
      </w:r>
    </w:p>
    <w:p w:rsidR="00571569" w:rsidRDefault="00807D09">
      <w:pPr>
        <w:spacing w:after="171" w:line="360" w:lineRule="auto"/>
        <w:ind w:left="10" w:right="139" w:hanging="10"/>
        <w:rPr>
          <w:sz w:val="24"/>
          <w:szCs w:val="24"/>
        </w:rPr>
      </w:pPr>
      <w:r>
        <w:rPr>
          <w:sz w:val="24"/>
          <w:szCs w:val="24"/>
        </w:rPr>
        <w:t xml:space="preserve">La SUAM, come individuata e definita, è il soggetto più idoneo a stabilire forme stabili di collaborazione con i </w:t>
      </w:r>
      <w:r w:rsidR="00D64236">
        <w:rPr>
          <w:sz w:val="24"/>
          <w:szCs w:val="24"/>
        </w:rPr>
        <w:t>_____________________</w:t>
      </w:r>
      <w:r>
        <w:rPr>
          <w:sz w:val="24"/>
          <w:szCs w:val="24"/>
        </w:rPr>
        <w:t xml:space="preserve">, per far sì che le verifiche sui costi della manodopera degli operatori economici che presentano l'offerta in sede di procedura di gara possano far emergere con precisione la congruità o meno del costo del lavoro in relazione </w:t>
      </w:r>
      <w:proofErr w:type="spellStart"/>
      <w:r>
        <w:rPr>
          <w:sz w:val="24"/>
          <w:szCs w:val="24"/>
        </w:rPr>
        <w:t>all</w:t>
      </w:r>
      <w:proofErr w:type="spellEnd"/>
      <w:r>
        <w:rPr>
          <w:sz w:val="24"/>
          <w:szCs w:val="24"/>
        </w:rPr>
        <w:t xml:space="preserve"> 'appalto da aggiudicare.</w:t>
      </w:r>
    </w:p>
    <w:p w:rsidR="00571569" w:rsidRDefault="00807D09">
      <w:pPr>
        <w:spacing w:after="171" w:line="360" w:lineRule="auto"/>
        <w:ind w:left="10" w:right="139" w:hanging="10"/>
        <w:rPr>
          <w:sz w:val="24"/>
          <w:szCs w:val="24"/>
        </w:rPr>
      </w:pPr>
      <w:r>
        <w:rPr>
          <w:sz w:val="24"/>
          <w:szCs w:val="24"/>
        </w:rPr>
        <w:t>La SUAM, al pari di tutti gli Enti ad essa tenuti a ricorrere ai sensi della L.R. istitutiva (“</w:t>
      </w:r>
      <w:r>
        <w:rPr>
          <w:i/>
          <w:iCs/>
          <w:sz w:val="24"/>
          <w:szCs w:val="24"/>
        </w:rPr>
        <w:t>(a le strutture organizzative della Giunta regionale; b) l’Agenzia regionale sanitaria; c) le società a totale partecipazione regionale.”; - all’art. 4 comma 2, che “sono tenuti ad avvalersi della SUAM per le procedure contrattuali per la realizzazione di lavori pubblici di importo superiore a un milione di euro e per l’acquisizione di beni e servizi di importo superiore alla soglia di rilevanza comunitaria: a) l’Agenzia regionale per la protezione ambientale delle Marche; b) l’Agenzia per i servizi del settore agroalimentare delle Marche; c) gli Enti gestori dei parchi naturali regionali; d) .........; e) gli enti del Servizio sanitario regionale; f) gli Enti dipendenti dalla Regione di cui alla legge regionale 16 dicembre 2005 n. 36 (Riordino del sistema regionale delle politiche abitative) e alla legge regionale 2 settembre 1996 n. 38 (Riordino in materia di diritto allo studio universitario</w:t>
      </w:r>
      <w:r>
        <w:rPr>
          <w:sz w:val="24"/>
          <w:szCs w:val="24"/>
        </w:rPr>
        <w:t>”) può trarre significativa utilità da un supporto della medesima natura.</w:t>
      </w:r>
    </w:p>
    <w:p w:rsidR="00571569" w:rsidRDefault="00807D09">
      <w:pPr>
        <w:spacing w:after="171" w:line="360" w:lineRule="auto"/>
        <w:ind w:left="10" w:right="139" w:hanging="10"/>
        <w:rPr>
          <w:sz w:val="24"/>
          <w:szCs w:val="24"/>
        </w:rPr>
      </w:pPr>
      <w:r>
        <w:rPr>
          <w:sz w:val="24"/>
          <w:szCs w:val="24"/>
        </w:rPr>
        <w:t>Con DGR n. 1476 del 12/11/2018 l'Amministrazione Regionale ha già stabilito di avviare una collaborazione istituzionale con le articolazioni territoriali dell'Ordine dei Consulenti del lavoro, approvando lo schema di Protocollo (l'Intesa per regolamentare termini e modalità di coop</w:t>
      </w:r>
      <w:r w:rsidR="001E7A83">
        <w:rPr>
          <w:sz w:val="24"/>
          <w:szCs w:val="24"/>
        </w:rPr>
        <w:t xml:space="preserve">erazione) e che è oggi volontà </w:t>
      </w:r>
      <w:r>
        <w:rPr>
          <w:sz w:val="24"/>
          <w:szCs w:val="24"/>
        </w:rPr>
        <w:t>delle parti contraenti di rinnovare ed aggiornare.</w:t>
      </w:r>
    </w:p>
    <w:p w:rsidR="00571569" w:rsidRDefault="00807D09">
      <w:pPr>
        <w:spacing w:after="171" w:line="360" w:lineRule="auto"/>
        <w:ind w:left="10" w:right="139" w:hanging="10"/>
        <w:rPr>
          <w:sz w:val="24"/>
          <w:szCs w:val="24"/>
        </w:rPr>
      </w:pPr>
      <w:r>
        <w:rPr>
          <w:sz w:val="24"/>
          <w:szCs w:val="24"/>
        </w:rPr>
        <w:t xml:space="preserve">La Regione Marche ha tra l’altro espressamente inserito - nell’ambito del proprio Piano Territoriale di cui al «Fondo di rotazione per l’attuazione del </w:t>
      </w:r>
      <w:proofErr w:type="spellStart"/>
      <w:r>
        <w:rPr>
          <w:sz w:val="24"/>
          <w:szCs w:val="24"/>
        </w:rPr>
        <w:t>Next</w:t>
      </w:r>
      <w:proofErr w:type="spellEnd"/>
      <w:r>
        <w:rPr>
          <w:sz w:val="24"/>
          <w:szCs w:val="24"/>
        </w:rPr>
        <w:t xml:space="preserve"> Generation EU-Italia», iscritto nello stato di previsione del Ministero dell’economa e delle finanze, in </w:t>
      </w:r>
      <w:proofErr w:type="spellStart"/>
      <w:r>
        <w:rPr>
          <w:sz w:val="24"/>
          <w:szCs w:val="24"/>
        </w:rPr>
        <w:t>qualita</w:t>
      </w:r>
      <w:proofErr w:type="spellEnd"/>
      <w:r>
        <w:rPr>
          <w:sz w:val="24"/>
          <w:szCs w:val="24"/>
        </w:rPr>
        <w:t xml:space="preserve">̀ di amministrazione titolare dell’Investimento “2.2: Task force digitalizzazione, monitoraggio e performance” del </w:t>
      </w:r>
      <w:r>
        <w:rPr>
          <w:sz w:val="24"/>
          <w:szCs w:val="24"/>
        </w:rPr>
        <w:lastRenderedPageBreak/>
        <w:t>PNRR - tra i progetti volti all’attuazione del Piano per la materia “SUAM-Appalti” la stipula del presente Accordo.</w:t>
      </w:r>
    </w:p>
    <w:p w:rsidR="00571569" w:rsidRDefault="00807D09">
      <w:pPr>
        <w:spacing w:after="171" w:line="360" w:lineRule="auto"/>
        <w:ind w:left="10" w:right="139" w:hanging="10"/>
        <w:rPr>
          <w:sz w:val="24"/>
          <w:szCs w:val="24"/>
        </w:rPr>
      </w:pPr>
      <w:r>
        <w:rPr>
          <w:sz w:val="24"/>
          <w:szCs w:val="24"/>
        </w:rPr>
        <w:t>Il presente Accordo, in conformità al medesimo Piano Territoriale, è destinato a trovare applicazione anche per gli appalti finanziati con fondi del PNRR.</w:t>
      </w:r>
    </w:p>
    <w:p w:rsidR="00571569" w:rsidRDefault="00807D09">
      <w:pPr>
        <w:spacing w:after="171" w:line="360" w:lineRule="auto"/>
        <w:ind w:left="10" w:right="139" w:hanging="10"/>
        <w:rPr>
          <w:sz w:val="24"/>
          <w:szCs w:val="24"/>
        </w:rPr>
      </w:pPr>
      <w:r>
        <w:rPr>
          <w:sz w:val="24"/>
          <w:szCs w:val="24"/>
        </w:rPr>
        <w:t>Una prima bozza di Accordo è stata inviata in data 23 febbraio 2022, a cura della Coordinatrice regionale degli Ordini.</w:t>
      </w:r>
    </w:p>
    <w:p w:rsidR="00571569" w:rsidRDefault="00807D09">
      <w:pPr>
        <w:spacing w:after="171" w:line="360" w:lineRule="auto"/>
        <w:ind w:left="10" w:right="139" w:hanging="10"/>
        <w:rPr>
          <w:sz w:val="24"/>
          <w:szCs w:val="24"/>
        </w:rPr>
      </w:pPr>
      <w:r>
        <w:rPr>
          <w:sz w:val="24"/>
          <w:szCs w:val="24"/>
        </w:rPr>
        <w:t>La volontà delle parti contraenti, è stata in data 16 febbraio 2022 ribadita nell’incontro che l’Assessore regionale Guido Castelli ha avuto con i Presidenti degli Ordini provinciali del consulente del lavoro e dalla coordinatrice regionale Carla Capriotti.</w:t>
      </w:r>
    </w:p>
    <w:p w:rsidR="00571569" w:rsidRDefault="00571569">
      <w:pPr>
        <w:spacing w:after="171" w:line="360" w:lineRule="auto"/>
        <w:ind w:left="10" w:right="139" w:hanging="10"/>
        <w:rPr>
          <w:sz w:val="24"/>
          <w:szCs w:val="24"/>
        </w:rPr>
      </w:pPr>
    </w:p>
    <w:p w:rsidR="00571569" w:rsidRDefault="00807D09">
      <w:pPr>
        <w:spacing w:after="330" w:line="360" w:lineRule="auto"/>
        <w:ind w:left="10" w:right="110" w:hanging="10"/>
        <w:jc w:val="center"/>
        <w:rPr>
          <w:b/>
          <w:bCs/>
          <w:sz w:val="24"/>
          <w:szCs w:val="24"/>
        </w:rPr>
      </w:pPr>
      <w:r>
        <w:rPr>
          <w:b/>
          <w:bCs/>
          <w:sz w:val="24"/>
          <w:szCs w:val="24"/>
        </w:rPr>
        <w:t>TUTTO CIÒ PREMESSO SI CONVIENE E STIPULA QUANTO SEGUE</w:t>
      </w:r>
    </w:p>
    <w:p w:rsidR="00571569" w:rsidRDefault="00807D09">
      <w:pPr>
        <w:spacing w:after="70" w:line="360" w:lineRule="auto"/>
        <w:ind w:left="10" w:right="96" w:hanging="10"/>
        <w:jc w:val="center"/>
        <w:rPr>
          <w:b/>
          <w:bCs/>
          <w:sz w:val="24"/>
          <w:szCs w:val="24"/>
        </w:rPr>
      </w:pPr>
      <w:r>
        <w:rPr>
          <w:b/>
          <w:bCs/>
          <w:sz w:val="24"/>
          <w:szCs w:val="24"/>
        </w:rPr>
        <w:t>Art. 1 Oggetto dell'accordo</w:t>
      </w:r>
    </w:p>
    <w:p w:rsidR="00571569" w:rsidRDefault="00807D09">
      <w:pPr>
        <w:spacing w:line="360" w:lineRule="auto"/>
        <w:ind w:left="43" w:right="62"/>
        <w:rPr>
          <w:sz w:val="24"/>
          <w:szCs w:val="24"/>
        </w:rPr>
      </w:pPr>
      <w:r>
        <w:rPr>
          <w:sz w:val="24"/>
          <w:szCs w:val="24"/>
        </w:rPr>
        <w:t xml:space="preserve">Oggetto del presente accordo è lo sviluppo di una collaborazione istituzionale tra </w:t>
      </w:r>
      <w:r w:rsidR="00D64236">
        <w:rPr>
          <w:sz w:val="24"/>
          <w:szCs w:val="24"/>
        </w:rPr>
        <w:t>____________________</w:t>
      </w:r>
      <w:r>
        <w:rPr>
          <w:sz w:val="24"/>
          <w:szCs w:val="24"/>
        </w:rPr>
        <w:t xml:space="preserve"> e </w:t>
      </w:r>
      <w:r w:rsidR="00D64236">
        <w:rPr>
          <w:sz w:val="24"/>
          <w:szCs w:val="24"/>
        </w:rPr>
        <w:t>____________________________</w:t>
      </w:r>
      <w:r>
        <w:rPr>
          <w:sz w:val="24"/>
          <w:szCs w:val="24"/>
        </w:rPr>
        <w:t>, finalizzata a contribuire alla qualificazione delle strategie e degli interventi messi in atto per la crescita del nostro sistema produttivo, sociale ed economico.</w:t>
      </w:r>
    </w:p>
    <w:p w:rsidR="00571569" w:rsidRDefault="00571569">
      <w:pPr>
        <w:spacing w:line="360" w:lineRule="auto"/>
        <w:ind w:left="43" w:right="62"/>
        <w:rPr>
          <w:sz w:val="24"/>
          <w:szCs w:val="24"/>
        </w:rPr>
      </w:pPr>
    </w:p>
    <w:p w:rsidR="00571569" w:rsidRDefault="00807D09">
      <w:pPr>
        <w:spacing w:after="226" w:line="360" w:lineRule="auto"/>
        <w:ind w:left="10" w:right="77" w:hanging="10"/>
        <w:jc w:val="center"/>
        <w:rPr>
          <w:b/>
          <w:bCs/>
          <w:sz w:val="24"/>
          <w:szCs w:val="24"/>
        </w:rPr>
      </w:pPr>
      <w:r>
        <w:rPr>
          <w:b/>
          <w:bCs/>
          <w:sz w:val="24"/>
          <w:szCs w:val="24"/>
        </w:rPr>
        <w:t>Art. 2 Attività formativa</w:t>
      </w:r>
    </w:p>
    <w:p w:rsidR="00571569" w:rsidRDefault="00807D09">
      <w:pPr>
        <w:spacing w:after="277" w:line="360" w:lineRule="auto"/>
        <w:ind w:left="43" w:right="62"/>
        <w:rPr>
          <w:sz w:val="24"/>
          <w:szCs w:val="24"/>
        </w:rPr>
      </w:pPr>
      <w:r>
        <w:rPr>
          <w:sz w:val="24"/>
          <w:szCs w:val="24"/>
        </w:rPr>
        <w:t>Le parti si impegnano a promuovere e svolgere azioni formative congiunte sui temi di cui al presente accordo e, più in generale, su altri temi di interesse comune che dovessero emergere.</w:t>
      </w:r>
    </w:p>
    <w:p w:rsidR="00571569" w:rsidRDefault="00807D09">
      <w:pPr>
        <w:spacing w:after="151" w:line="360" w:lineRule="auto"/>
        <w:ind w:left="43" w:right="62"/>
        <w:rPr>
          <w:sz w:val="24"/>
          <w:szCs w:val="24"/>
        </w:rPr>
      </w:pPr>
      <w:r>
        <w:rPr>
          <w:sz w:val="24"/>
          <w:szCs w:val="24"/>
        </w:rPr>
        <w:t xml:space="preserve">In fase di redazione dei progetti (art, 23, co. 16 del DLGS 50/2016 ) da porre a base di procedure di gara da espletarsi a cura della Regione Marche i </w:t>
      </w:r>
      <w:r w:rsidR="00D64236">
        <w:rPr>
          <w:sz w:val="24"/>
          <w:szCs w:val="24"/>
        </w:rPr>
        <w:t>____________________________</w:t>
      </w:r>
      <w:r>
        <w:rPr>
          <w:sz w:val="24"/>
          <w:szCs w:val="24"/>
        </w:rPr>
        <w:t xml:space="preserve"> si impegnano a collaborare assicurando la formazione, ad opera dei consulenti del lavoro dagli stessi indicati, ai progettisti dipendenti della Regione Marche che negli appalti debbono determinare il costo della manodopera sulla base delle tabelle ministeriali definite in sede di contrattazione collettiva nazionale dei diversi settori merceologici e delle diverse aree territoriali.</w:t>
      </w:r>
    </w:p>
    <w:p w:rsidR="00571569" w:rsidRDefault="00807D09">
      <w:pPr>
        <w:spacing w:after="184" w:line="360" w:lineRule="auto"/>
        <w:ind w:left="10" w:right="53" w:hanging="10"/>
        <w:jc w:val="center"/>
        <w:rPr>
          <w:b/>
          <w:bCs/>
          <w:sz w:val="24"/>
          <w:szCs w:val="24"/>
        </w:rPr>
      </w:pPr>
      <w:r>
        <w:rPr>
          <w:b/>
          <w:bCs/>
          <w:sz w:val="24"/>
          <w:szCs w:val="24"/>
        </w:rPr>
        <w:t>Art. 3 Attività di collaborazione con Soggetto Aggregatore-Regione Marche e SUAM</w:t>
      </w:r>
    </w:p>
    <w:p w:rsidR="00571569" w:rsidRDefault="00807D09">
      <w:pPr>
        <w:spacing w:after="292" w:line="360" w:lineRule="auto"/>
        <w:ind w:left="43" w:right="62"/>
        <w:rPr>
          <w:sz w:val="24"/>
          <w:szCs w:val="24"/>
        </w:rPr>
      </w:pPr>
      <w:r>
        <w:rPr>
          <w:sz w:val="24"/>
          <w:szCs w:val="24"/>
        </w:rPr>
        <w:t xml:space="preserve">La corretta impostazione, in fase progettuale, degli elementi di costo (tra i quali la manodopera) si sostanzia nella scelta del CCNL che sia connesso e compatibile con l'effettiva attività oggetto dell'appalto. Tale corretta impostazione progettuale nella determinazione dell'importo a base di </w:t>
      </w:r>
      <w:r>
        <w:rPr>
          <w:sz w:val="24"/>
          <w:szCs w:val="24"/>
        </w:rPr>
        <w:lastRenderedPageBreak/>
        <w:t>gara consentirà alla Soggetto Aggregatore-Regione Marche, nonché alla SUAM, in sede di verifica della congruità dell'offerta, di procedere trovando il giusto equilibrio tra i due interessi contrapposti: quello di aggiudicare l'appalto ad operatori economici la cui offerta risulti più economica e vantaggiosa per la stazione appaltante e quello per cui nel suo complesso, risulti congrua ed eseguibile.</w:t>
      </w:r>
    </w:p>
    <w:p w:rsidR="00571569" w:rsidRDefault="00807D09">
      <w:pPr>
        <w:spacing w:line="360" w:lineRule="auto"/>
        <w:ind w:left="43" w:right="62"/>
        <w:rPr>
          <w:sz w:val="24"/>
          <w:szCs w:val="24"/>
        </w:rPr>
      </w:pPr>
      <w:r>
        <w:rPr>
          <w:sz w:val="24"/>
          <w:szCs w:val="24"/>
        </w:rPr>
        <w:t xml:space="preserve">Ai sensi del presente accordo i </w:t>
      </w:r>
      <w:r w:rsidR="00D64236">
        <w:rPr>
          <w:sz w:val="24"/>
          <w:szCs w:val="24"/>
        </w:rPr>
        <w:t>_________</w:t>
      </w:r>
      <w:r>
        <w:rPr>
          <w:sz w:val="24"/>
          <w:szCs w:val="24"/>
        </w:rPr>
        <w:t xml:space="preserve"> si impegnano a supportare il Soggetto Aggregatore-Regione Marche e SUAM, nonché i progettisti dei servizi degli enti locali che insistono sul territorio regionale, con interventi formativi, mirati nella predisposizione dei modelli da utilizzare nelle procedure di gara, a corredo dell'offerta economica, che consentano agli offerenti di dichiarare i propri costi della manodopera ai sensi del co. 10 dell'art. 95 del </w:t>
      </w:r>
      <w:proofErr w:type="spellStart"/>
      <w:proofErr w:type="gramStart"/>
      <w:r>
        <w:rPr>
          <w:sz w:val="24"/>
          <w:szCs w:val="24"/>
        </w:rPr>
        <w:t>D,lgs</w:t>
      </w:r>
      <w:proofErr w:type="spellEnd"/>
      <w:proofErr w:type="gramEnd"/>
      <w:r>
        <w:rPr>
          <w:sz w:val="24"/>
          <w:szCs w:val="24"/>
        </w:rPr>
        <w:t xml:space="preserve"> 50/2016 e </w:t>
      </w:r>
      <w:proofErr w:type="spellStart"/>
      <w:r>
        <w:rPr>
          <w:sz w:val="24"/>
          <w:szCs w:val="24"/>
        </w:rPr>
        <w:t>smi</w:t>
      </w:r>
      <w:proofErr w:type="spellEnd"/>
      <w:r>
        <w:rPr>
          <w:sz w:val="24"/>
          <w:szCs w:val="24"/>
        </w:rPr>
        <w:t>. Tali modelli dovranno essere strutturati in modo che la stazione appaltante possa evincere in modo chiaro e univoco i seguenti sub elementi: l) costo unitario, 2) monte ore, 3) numero e qualificazione dei lavoratori.</w:t>
      </w:r>
    </w:p>
    <w:p w:rsidR="00571569" w:rsidRDefault="00807D09">
      <w:pPr>
        <w:spacing w:line="360" w:lineRule="auto"/>
        <w:ind w:left="43" w:right="62"/>
        <w:rPr>
          <w:sz w:val="24"/>
          <w:szCs w:val="24"/>
        </w:rPr>
      </w:pPr>
      <w:r>
        <w:rPr>
          <w:sz w:val="24"/>
          <w:szCs w:val="24"/>
        </w:rPr>
        <w:t xml:space="preserve">A tal fine i </w:t>
      </w:r>
      <w:r w:rsidR="00D64236">
        <w:rPr>
          <w:sz w:val="24"/>
          <w:szCs w:val="24"/>
        </w:rPr>
        <w:t>_____________</w:t>
      </w:r>
      <w:r>
        <w:rPr>
          <w:sz w:val="24"/>
          <w:szCs w:val="24"/>
        </w:rPr>
        <w:t xml:space="preserve"> si impegnano a garantire le docenze gratuite per n. 2 (due) sessioni formative annue di tre ore ognuna, riservate ai funzionari degli uffici della Regione Marche.</w:t>
      </w:r>
    </w:p>
    <w:p w:rsidR="00571569" w:rsidRDefault="00807D09">
      <w:pPr>
        <w:spacing w:line="360" w:lineRule="auto"/>
        <w:ind w:left="43" w:right="62"/>
        <w:rPr>
          <w:sz w:val="24"/>
          <w:szCs w:val="24"/>
        </w:rPr>
      </w:pPr>
      <w:r>
        <w:rPr>
          <w:sz w:val="24"/>
          <w:szCs w:val="24"/>
        </w:rPr>
        <w:t xml:space="preserve">La Regione Marche mette a disposizione i locali per la formazione di cui al comma precedente ove potranno partecipare anche iscritti all'albo tenuto dai medesimi </w:t>
      </w:r>
      <w:r w:rsidR="00D64236">
        <w:rPr>
          <w:sz w:val="24"/>
          <w:szCs w:val="24"/>
        </w:rPr>
        <w:t>_________________________</w:t>
      </w:r>
      <w:r>
        <w:rPr>
          <w:sz w:val="24"/>
          <w:szCs w:val="24"/>
        </w:rPr>
        <w:t xml:space="preserve"> per la loro formazione obbligatoria.</w:t>
      </w:r>
    </w:p>
    <w:p w:rsidR="00571569" w:rsidRDefault="00807D09">
      <w:pPr>
        <w:spacing w:line="360" w:lineRule="auto"/>
        <w:ind w:left="43" w:right="62"/>
        <w:rPr>
          <w:sz w:val="24"/>
          <w:szCs w:val="24"/>
        </w:rPr>
      </w:pPr>
      <w:r>
        <w:rPr>
          <w:sz w:val="24"/>
          <w:szCs w:val="24"/>
        </w:rPr>
        <w:t xml:space="preserve">I </w:t>
      </w:r>
      <w:r w:rsidR="00D64236">
        <w:rPr>
          <w:sz w:val="24"/>
          <w:szCs w:val="24"/>
        </w:rPr>
        <w:t>___________</w:t>
      </w:r>
      <w:r>
        <w:rPr>
          <w:sz w:val="24"/>
          <w:szCs w:val="24"/>
        </w:rPr>
        <w:t xml:space="preserve"> si impegnano a garantire e coordinare la rotazione degli incarichi assegnati dalla Regione tra i Consulenti delle cinque Province.</w:t>
      </w:r>
    </w:p>
    <w:p w:rsidR="00571569" w:rsidRDefault="00807D09">
      <w:pPr>
        <w:spacing w:line="360" w:lineRule="auto"/>
        <w:ind w:left="43" w:right="62"/>
        <w:rPr>
          <w:sz w:val="24"/>
          <w:szCs w:val="24"/>
        </w:rPr>
      </w:pPr>
      <w:r>
        <w:rPr>
          <w:sz w:val="24"/>
          <w:szCs w:val="24"/>
        </w:rPr>
        <w:t>Le fasce di compenso per le consulenze svolte variano in base alla complessità della gara e saranno rispettose del principio della proporzionalità rispetto alla gravosità dell’incarico.</w:t>
      </w:r>
    </w:p>
    <w:p w:rsidR="00571569" w:rsidRDefault="00807D09">
      <w:pPr>
        <w:spacing w:line="360" w:lineRule="auto"/>
        <w:ind w:left="43" w:right="62"/>
        <w:rPr>
          <w:sz w:val="24"/>
          <w:szCs w:val="24"/>
        </w:rPr>
      </w:pPr>
      <w:r>
        <w:rPr>
          <w:sz w:val="24"/>
          <w:szCs w:val="24"/>
        </w:rPr>
        <w:t>Il parametro di riferimento individuato dal suddetto Protocollo per il calcolo del compenso spettante è costituito dall’importo totale della gara d’appalto, dal numero dei lotti, dal numero degli aggiudicatari.</w:t>
      </w:r>
    </w:p>
    <w:p w:rsidR="00571569" w:rsidRDefault="00807D09">
      <w:pPr>
        <w:spacing w:line="360" w:lineRule="auto"/>
        <w:ind w:left="43" w:right="62"/>
        <w:rPr>
          <w:sz w:val="24"/>
          <w:szCs w:val="24"/>
        </w:rPr>
      </w:pPr>
      <w:r>
        <w:rPr>
          <w:sz w:val="24"/>
          <w:szCs w:val="24"/>
        </w:rPr>
        <w:t xml:space="preserve">Il </w:t>
      </w:r>
      <w:proofErr w:type="spellStart"/>
      <w:r>
        <w:rPr>
          <w:sz w:val="24"/>
          <w:szCs w:val="24"/>
        </w:rPr>
        <w:t>range</w:t>
      </w:r>
      <w:proofErr w:type="spellEnd"/>
      <w:r>
        <w:rPr>
          <w:sz w:val="24"/>
          <w:szCs w:val="24"/>
        </w:rPr>
        <w:t xml:space="preserve"> del compenso va da € 2.000,00 (duemila) ad € 5.000,00 (cinquemila) ed è così parametrizzato:</w:t>
      </w:r>
    </w:p>
    <w:p w:rsidR="00571569" w:rsidRDefault="00807D09">
      <w:pPr>
        <w:spacing w:line="360" w:lineRule="auto"/>
        <w:ind w:left="43" w:right="62"/>
        <w:rPr>
          <w:sz w:val="24"/>
          <w:szCs w:val="24"/>
        </w:rPr>
      </w:pPr>
      <w:r>
        <w:rPr>
          <w:sz w:val="24"/>
          <w:szCs w:val="24"/>
        </w:rPr>
        <w:t>euro 2.500,00 in presenza di massimo due lotti e/o con un totale di aggiudicatari non superiore a 2 (anche facenti parte di Consorzi o ATI o</w:t>
      </w:r>
      <w:proofErr w:type="gramStart"/>
      <w:r>
        <w:rPr>
          <w:sz w:val="24"/>
          <w:szCs w:val="24"/>
        </w:rPr>
        <w:t xml:space="preserve"> ….</w:t>
      </w:r>
      <w:proofErr w:type="gramEnd"/>
      <w:r>
        <w:rPr>
          <w:sz w:val="24"/>
          <w:szCs w:val="24"/>
        </w:rPr>
        <w:t>);</w:t>
      </w:r>
    </w:p>
    <w:p w:rsidR="00571569" w:rsidRDefault="00807D09">
      <w:pPr>
        <w:spacing w:line="360" w:lineRule="auto"/>
        <w:ind w:left="43" w:right="62"/>
        <w:rPr>
          <w:sz w:val="24"/>
          <w:szCs w:val="24"/>
        </w:rPr>
      </w:pPr>
      <w:r>
        <w:rPr>
          <w:sz w:val="24"/>
          <w:szCs w:val="24"/>
        </w:rPr>
        <w:t>euro 3.500,00 in presenza di almeno tre lotti e fino a quattro lotti e/o con un totale di aggiudicatari non superiore a 6 (anche facenti parte di Consorzi o ATI);</w:t>
      </w:r>
    </w:p>
    <w:p w:rsidR="00571569" w:rsidRDefault="00807D09">
      <w:pPr>
        <w:spacing w:line="360" w:lineRule="auto"/>
        <w:ind w:left="43" w:right="62"/>
        <w:rPr>
          <w:sz w:val="24"/>
          <w:szCs w:val="24"/>
        </w:rPr>
      </w:pPr>
      <w:r>
        <w:rPr>
          <w:sz w:val="24"/>
          <w:szCs w:val="24"/>
        </w:rPr>
        <w:t xml:space="preserve">euro 5.000,00 in presenza di almeno cinque lotti e/o con un totale di aggiudicatari superiore a 7 (anche facenti parte di Consorzi o ATI </w:t>
      </w:r>
      <w:proofErr w:type="gramStart"/>
      <w:r>
        <w:rPr>
          <w:sz w:val="24"/>
          <w:szCs w:val="24"/>
        </w:rPr>
        <w:t>o….</w:t>
      </w:r>
      <w:proofErr w:type="gramEnd"/>
      <w:r>
        <w:rPr>
          <w:sz w:val="24"/>
          <w:szCs w:val="24"/>
        </w:rPr>
        <w:t>);</w:t>
      </w:r>
    </w:p>
    <w:p w:rsidR="00571569" w:rsidRDefault="00807D09">
      <w:pPr>
        <w:spacing w:line="360" w:lineRule="auto"/>
        <w:ind w:left="43" w:right="62"/>
        <w:rPr>
          <w:sz w:val="24"/>
          <w:szCs w:val="24"/>
        </w:rPr>
      </w:pPr>
      <w:r>
        <w:rPr>
          <w:sz w:val="24"/>
          <w:szCs w:val="24"/>
        </w:rPr>
        <w:lastRenderedPageBreak/>
        <w:t>I tempi di consegna delle relazioni da parte del Consulente incaricato varieranno in base alla complessità del lavoro, come sopra individuato, e potranno essere di 10/20/30 giorni fatte salve eventuali interruzioni richieste dall’incaricato per avere chiarimenti e integrazioni documentali, limitatamente alla loro durata.</w:t>
      </w:r>
    </w:p>
    <w:p w:rsidR="00571569" w:rsidRDefault="00807D09">
      <w:pPr>
        <w:spacing w:line="360" w:lineRule="auto"/>
        <w:ind w:left="43" w:right="62"/>
        <w:rPr>
          <w:sz w:val="24"/>
          <w:szCs w:val="24"/>
        </w:rPr>
      </w:pPr>
      <w:r>
        <w:rPr>
          <w:sz w:val="24"/>
          <w:szCs w:val="24"/>
        </w:rPr>
        <w:t>Per la partecipazione al tavolo tecnico della Regione Marche che opera sulla revisione dei prezzi prevista per i contratti ad esecuzione periodica o continua, l’incarico verrà assegnato allo stesso Consulente che ha già svolto l’attività di controllo in fase di aggiudicazione della gara, il compenso sarà in percentuale calcolato su quello percepito in precedenza, la percentuale è pari al 75%.</w:t>
      </w:r>
    </w:p>
    <w:p w:rsidR="00571569" w:rsidRDefault="00807D09">
      <w:pPr>
        <w:spacing w:after="285" w:line="360" w:lineRule="auto"/>
        <w:ind w:right="163"/>
        <w:rPr>
          <w:b/>
          <w:bCs/>
          <w:sz w:val="24"/>
          <w:szCs w:val="24"/>
        </w:rPr>
      </w:pPr>
      <w:r>
        <w:rPr>
          <w:sz w:val="24"/>
          <w:szCs w:val="24"/>
        </w:rPr>
        <w:t xml:space="preserve">                                                               </w:t>
      </w:r>
      <w:r>
        <w:rPr>
          <w:b/>
          <w:bCs/>
          <w:sz w:val="24"/>
          <w:szCs w:val="24"/>
        </w:rPr>
        <w:t>Art. 4 Durata dell'accordo</w:t>
      </w:r>
    </w:p>
    <w:p w:rsidR="00571569" w:rsidRDefault="00807D09">
      <w:pPr>
        <w:spacing w:after="37" w:line="360" w:lineRule="auto"/>
        <w:ind w:left="43" w:right="62"/>
        <w:rPr>
          <w:sz w:val="24"/>
          <w:szCs w:val="24"/>
        </w:rPr>
      </w:pPr>
      <w:r>
        <w:rPr>
          <w:sz w:val="24"/>
          <w:szCs w:val="24"/>
        </w:rPr>
        <w:t>Il presente accordo ha durata triennale, decorrente dalla data di sottoscrizione e con esplicita esclusione del rinnovo tacito.</w:t>
      </w:r>
    </w:p>
    <w:p w:rsidR="00571569" w:rsidRDefault="00571569">
      <w:pPr>
        <w:spacing w:after="401" w:line="360" w:lineRule="auto"/>
        <w:ind w:left="43" w:right="0"/>
        <w:rPr>
          <w:strike/>
          <w:sz w:val="24"/>
          <w:szCs w:val="24"/>
        </w:rPr>
      </w:pPr>
    </w:p>
    <w:p w:rsidR="00571569" w:rsidRDefault="00807D09">
      <w:pPr>
        <w:spacing w:after="226" w:line="360" w:lineRule="auto"/>
        <w:ind w:left="43" w:right="62"/>
        <w:rPr>
          <w:sz w:val="24"/>
          <w:szCs w:val="24"/>
        </w:rPr>
      </w:pPr>
      <w:r>
        <w:rPr>
          <w:sz w:val="24"/>
          <w:szCs w:val="24"/>
        </w:rPr>
        <w:t>Letto, approvato e sottoscritto.</w:t>
      </w:r>
    </w:p>
    <w:p w:rsidR="00571569" w:rsidRDefault="00807D09">
      <w:pPr>
        <w:spacing w:after="226" w:line="360" w:lineRule="auto"/>
        <w:ind w:left="43" w:right="62"/>
        <w:rPr>
          <w:sz w:val="24"/>
          <w:szCs w:val="24"/>
        </w:rPr>
      </w:pPr>
      <w:r>
        <w:rPr>
          <w:sz w:val="24"/>
          <w:szCs w:val="24"/>
        </w:rPr>
        <w:t xml:space="preserve">Ancona, </w:t>
      </w:r>
    </w:p>
    <w:p w:rsidR="00571569" w:rsidRDefault="00571569">
      <w:pPr>
        <w:spacing w:after="98" w:line="360" w:lineRule="auto"/>
        <w:ind w:right="62"/>
        <w:rPr>
          <w:sz w:val="24"/>
          <w:szCs w:val="24"/>
        </w:rPr>
      </w:pPr>
    </w:p>
    <w:p w:rsidR="00571569" w:rsidRDefault="00807D09">
      <w:pPr>
        <w:spacing w:after="98" w:line="360" w:lineRule="auto"/>
        <w:ind w:right="62"/>
        <w:rPr>
          <w:sz w:val="24"/>
          <w:szCs w:val="24"/>
        </w:rPr>
      </w:pPr>
      <w:r>
        <w:rPr>
          <w:sz w:val="24"/>
          <w:szCs w:val="24"/>
        </w:rPr>
        <w:t>Dirigente del Servizio Stazione Unica Appaltante Marche</w:t>
      </w:r>
    </w:p>
    <w:p w:rsidR="00571569" w:rsidRDefault="00807D09">
      <w:pPr>
        <w:spacing w:after="98" w:line="360" w:lineRule="auto"/>
        <w:ind w:right="62"/>
        <w:rPr>
          <w:sz w:val="24"/>
          <w:szCs w:val="24"/>
        </w:rPr>
      </w:pPr>
      <w:r>
        <w:rPr>
          <w:sz w:val="24"/>
          <w:szCs w:val="24"/>
        </w:rPr>
        <w:t>_______________________</w:t>
      </w:r>
    </w:p>
    <w:p w:rsidR="00571569" w:rsidRDefault="00807D09">
      <w:pPr>
        <w:spacing w:after="98" w:line="360" w:lineRule="auto"/>
        <w:ind w:right="62"/>
        <w:rPr>
          <w:sz w:val="24"/>
          <w:szCs w:val="24"/>
        </w:rPr>
      </w:pPr>
      <w:r>
        <w:rPr>
          <w:sz w:val="24"/>
          <w:szCs w:val="24"/>
        </w:rPr>
        <w:t>_______________________________________</w:t>
      </w:r>
    </w:p>
    <w:p w:rsidR="00571569" w:rsidRDefault="00571569">
      <w:pPr>
        <w:spacing w:after="98" w:line="360" w:lineRule="auto"/>
        <w:ind w:right="62"/>
        <w:rPr>
          <w:sz w:val="24"/>
          <w:szCs w:val="24"/>
        </w:rPr>
      </w:pPr>
    </w:p>
    <w:p w:rsidR="00571569" w:rsidRDefault="00807D09">
      <w:pPr>
        <w:spacing w:after="98" w:line="360" w:lineRule="auto"/>
        <w:ind w:right="62"/>
        <w:rPr>
          <w:sz w:val="24"/>
          <w:szCs w:val="24"/>
        </w:rPr>
      </w:pPr>
      <w:r>
        <w:rPr>
          <w:sz w:val="24"/>
          <w:szCs w:val="24"/>
        </w:rPr>
        <w:t xml:space="preserve">La </w:t>
      </w:r>
      <w:r w:rsidR="00D64236">
        <w:rPr>
          <w:sz w:val="24"/>
          <w:szCs w:val="24"/>
        </w:rPr>
        <w:t>________</w:t>
      </w:r>
      <w:r>
        <w:rPr>
          <w:sz w:val="24"/>
          <w:szCs w:val="24"/>
        </w:rPr>
        <w:t xml:space="preserve"> </w:t>
      </w:r>
    </w:p>
    <w:p w:rsidR="00571569" w:rsidRDefault="00807D09">
      <w:pPr>
        <w:spacing w:after="98" w:line="360" w:lineRule="auto"/>
        <w:ind w:right="62"/>
      </w:pPr>
      <w:r>
        <w:rPr>
          <w:sz w:val="24"/>
          <w:szCs w:val="24"/>
        </w:rPr>
        <w:t>_______________________________________</w:t>
      </w:r>
    </w:p>
    <w:sectPr w:rsidR="00571569">
      <w:headerReference w:type="default" r:id="rId8"/>
      <w:footerReference w:type="default" r:id="rId9"/>
      <w:pgSz w:w="11900" w:h="16840"/>
      <w:pgMar w:top="284" w:right="1229" w:bottom="1215" w:left="131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230" w:rsidRDefault="00807D09">
      <w:pPr>
        <w:spacing w:after="0" w:line="240" w:lineRule="auto"/>
      </w:pPr>
      <w:r>
        <w:separator/>
      </w:r>
    </w:p>
  </w:endnote>
  <w:endnote w:type="continuationSeparator" w:id="0">
    <w:p w:rsidR="00ED1230" w:rsidRDefault="00807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569" w:rsidRDefault="00571569">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230" w:rsidRDefault="00807D09">
      <w:pPr>
        <w:spacing w:after="0" w:line="240" w:lineRule="auto"/>
      </w:pPr>
      <w:r>
        <w:separator/>
      </w:r>
    </w:p>
  </w:footnote>
  <w:footnote w:type="continuationSeparator" w:id="0">
    <w:p w:rsidR="00ED1230" w:rsidRDefault="00807D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569" w:rsidRDefault="00807D09">
    <w:pPr>
      <w:pStyle w:val="Intestazione"/>
      <w:tabs>
        <w:tab w:val="clear" w:pos="9638"/>
        <w:tab w:val="right" w:pos="9341"/>
      </w:tabs>
    </w:pPr>
    <w:r>
      <w:fldChar w:fldCharType="begin"/>
    </w:r>
    <w:r>
      <w:instrText xml:space="preserve"> PAGE </w:instrText>
    </w:r>
    <w:r>
      <w:fldChar w:fldCharType="separate"/>
    </w:r>
    <w:r w:rsidR="00853B15">
      <w:rPr>
        <w:noProof/>
      </w:rPr>
      <w:t>7</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569"/>
    <w:rsid w:val="001E7A83"/>
    <w:rsid w:val="00571569"/>
    <w:rsid w:val="00807D09"/>
    <w:rsid w:val="00853B15"/>
    <w:rsid w:val="00D64236"/>
    <w:rsid w:val="00ED12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E23A2"/>
  <w15:docId w15:val="{8D991606-251B-429C-8A16-9EACBF510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spacing w:after="5" w:line="251" w:lineRule="auto"/>
      <w:ind w:right="82"/>
      <w:jc w:val="both"/>
    </w:pPr>
    <w:rPr>
      <w:rFonts w:cs="Arial Unicode MS"/>
      <w:color w:val="000000"/>
      <w:sz w:val="22"/>
      <w:szCs w:val="22"/>
      <w:u w:color="000000"/>
      <w14:textOutline w14:w="12700" w14:cap="flat" w14:cmpd="sng" w14:algn="ctr">
        <w14:noFill/>
        <w14:prstDash w14:val="solid"/>
        <w14:miter w14:lim="400000"/>
      </w14:textOutli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pPr>
      <w:tabs>
        <w:tab w:val="center" w:pos="4819"/>
        <w:tab w:val="right" w:pos="9638"/>
      </w:tabs>
      <w:spacing w:after="5" w:line="251" w:lineRule="auto"/>
      <w:ind w:right="82"/>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2414</Words>
  <Characters>13764</Characters>
  <Application>Microsoft Office Word</Application>
  <DocSecurity>0</DocSecurity>
  <Lines>114</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2022-12-02T09:10:00Z</dcterms:created>
  <dcterms:modified xsi:type="dcterms:W3CDTF">2022-12-06T10:21:00Z</dcterms:modified>
</cp:coreProperties>
</file>